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029DA" w14:textId="77777777" w:rsidR="004E630E" w:rsidRPr="007B61B8" w:rsidRDefault="004E630E" w:rsidP="004E630E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6199A8C2" wp14:editId="5EEC0AF1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66D1" w14:textId="77777777" w:rsidR="004E630E" w:rsidRPr="007B61B8" w:rsidRDefault="004E630E" w:rsidP="004E630E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206CB20B" wp14:editId="04F71875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F2981" w14:textId="77777777" w:rsidR="004E630E" w:rsidRPr="007B61B8" w:rsidRDefault="004E630E" w:rsidP="004E630E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08E821F1" w14:textId="77777777" w:rsidR="004E630E" w:rsidRDefault="004E630E" w:rsidP="004E630E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4C6AD97D" w14:textId="77777777" w:rsidR="004E630E" w:rsidRDefault="004E630E" w:rsidP="004E630E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3A26806E" w14:textId="77777777" w:rsidR="004E630E" w:rsidRPr="007B61B8" w:rsidRDefault="004E630E" w:rsidP="004E630E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7219C4A3" w14:textId="77777777" w:rsidR="004E630E" w:rsidRPr="007B61B8" w:rsidRDefault="004E630E" w:rsidP="004E630E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3EFBE07F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603D4D">
        <w:rPr>
          <w:rFonts w:eastAsia="Times New Roman" w:cs="Arial"/>
          <w:b/>
          <w:sz w:val="32"/>
          <w:szCs w:val="32"/>
        </w:rPr>
        <w:t xml:space="preserve">КНИГА </w:t>
      </w:r>
      <w:r w:rsidR="00113FC0" w:rsidRPr="00603D4D">
        <w:rPr>
          <w:rFonts w:eastAsia="Times New Roman" w:cs="Arial"/>
          <w:b/>
          <w:sz w:val="32"/>
          <w:szCs w:val="32"/>
        </w:rPr>
        <w:t>9</w:t>
      </w:r>
      <w:r w:rsidRPr="00603D4D">
        <w:rPr>
          <w:rFonts w:eastAsia="Times New Roman" w:cs="Arial"/>
          <w:b/>
          <w:sz w:val="32"/>
          <w:szCs w:val="32"/>
        </w:rPr>
        <w:t xml:space="preserve">. </w:t>
      </w:r>
      <w:r w:rsidR="00113FC0" w:rsidRPr="00603D4D">
        <w:rPr>
          <w:rFonts w:eastAsia="Times New Roman" w:cs="Arial"/>
          <w:b/>
          <w:sz w:val="32"/>
          <w:szCs w:val="32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5FE03024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36A3C446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47582BD2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1C95F121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F5050A9" w14:textId="77777777"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7333CCA" w14:textId="77777777" w:rsidR="00F07115" w:rsidRPr="00603D4D" w:rsidRDefault="00F07115" w:rsidP="00F07115">
      <w:pPr>
        <w:spacing w:after="0"/>
        <w:jc w:val="center"/>
        <w:rPr>
          <w:rFonts w:cs="Arial"/>
          <w:sz w:val="28"/>
          <w:szCs w:val="28"/>
        </w:rPr>
      </w:pPr>
      <w:r w:rsidRPr="00603D4D">
        <w:rPr>
          <w:rFonts w:cs="Arial"/>
          <w:sz w:val="28"/>
          <w:szCs w:val="28"/>
        </w:rPr>
        <w:t>Санкт Петербург 2022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14:paraId="3FFA0E00" w14:textId="77777777" w:rsidR="004E630E" w:rsidRPr="007B61B8" w:rsidRDefault="004E630E" w:rsidP="004E630E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12E0D8AF" w14:textId="0A9CDEFA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355646" w:history="1">
            <w:r w:rsidRPr="00954661">
              <w:rPr>
                <w:rStyle w:val="ae"/>
                <w:rFonts w:cstheme="majorBidi"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57F59" w14:textId="3586DD4F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47" w:history="1">
            <w:r w:rsidRPr="00954661">
              <w:rPr>
                <w:rStyle w:val="ae"/>
                <w:rFonts w:cstheme="majorBidi"/>
                <w:noProof/>
              </w:rPr>
              <w:t>9.1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36800" w14:textId="197F46B6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48" w:history="1">
            <w:r w:rsidRPr="00954661">
              <w:rPr>
                <w:rStyle w:val="ae"/>
                <w:rFonts w:cstheme="majorBidi"/>
                <w:noProof/>
              </w:rPr>
              <w:t>9.2 Выбор и обоснование метода регулирования отпуска тепловой энергии от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9ACB4" w14:textId="1ED61166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49" w:history="1">
            <w:r w:rsidRPr="00954661">
              <w:rPr>
                <w:rStyle w:val="ae"/>
                <w:rFonts w:cstheme="majorBidi"/>
                <w:noProof/>
              </w:rPr>
              <w:t>9.3 Предложения по реконструкции тепловых сетей для обеспечения передачи тепловой энергии при переходе от открытой системы теплосбжения (горячего водоснабжения) к закрытой системе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35407" w14:textId="0EEECE91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50" w:history="1">
            <w:r w:rsidRPr="00954661">
              <w:rPr>
                <w:rStyle w:val="ae"/>
                <w:rFonts w:cstheme="majorBidi"/>
                <w:noProof/>
              </w:rPr>
      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53D4" w14:textId="4F66DC58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51" w:history="1">
            <w:r w:rsidRPr="00954661">
              <w:rPr>
                <w:rStyle w:val="ae"/>
                <w:rFonts w:cstheme="majorBidi"/>
                <w:noProof/>
              </w:rPr>
      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BCA34" w14:textId="3E1D0CC0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52" w:history="1">
            <w:r w:rsidRPr="00954661">
              <w:rPr>
                <w:rStyle w:val="ae"/>
                <w:rFonts w:cstheme="majorBidi"/>
                <w:noProof/>
              </w:rPr>
              <w:t>9.6 Предложения по источникам инвестиций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8ECBB" w14:textId="5016B215" w:rsidR="004E630E" w:rsidRDefault="004E630E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355653" w:history="1">
            <w:r w:rsidRPr="00954661">
              <w:rPr>
                <w:rStyle w:val="ae"/>
                <w:rFonts w:cstheme="majorBidi"/>
                <w:noProof/>
              </w:rPr>
              <w:t>9.7 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_Toc115355653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9669B" w14:textId="10366C2E" w:rsidR="004E630E" w:rsidRDefault="004E630E" w:rsidP="004E630E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27A53E15" w14:textId="524E220E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1A7D5B3D" w14:textId="31A6394E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50F144CB" w14:textId="3953C834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5E343474" w14:textId="66FCAACA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0630F096" w14:textId="4A80B751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470585E7" w14:textId="40A4F6FD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13A42666" w14:textId="67E031FE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1EEAC44D" w14:textId="1FFA0854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561E41F3" w14:textId="79C07039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669E2AF3" w14:textId="775D5DAF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53DFEA34" w14:textId="6FFE9FA7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163FB9D7" w14:textId="77777777"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14:paraId="26FDA5A4" w14:textId="77777777" w:rsidR="004E630E" w:rsidRPr="00603D4D" w:rsidRDefault="004E630E" w:rsidP="004E630E">
      <w:pPr>
        <w:spacing w:after="0" w:line="360" w:lineRule="auto"/>
        <w:ind w:firstLine="709"/>
        <w:jc w:val="both"/>
        <w:rPr>
          <w:rFonts w:cs="Arial"/>
          <w:caps/>
          <w:szCs w:val="24"/>
        </w:rPr>
      </w:pPr>
    </w:p>
    <w:p w14:paraId="222F5C3E" w14:textId="00606CFA" w:rsidR="00F02539" w:rsidRPr="004E630E" w:rsidRDefault="004E630E" w:rsidP="004E630E">
      <w:pPr>
        <w:pStyle w:val="2f3"/>
        <w:rPr>
          <w:rFonts w:cstheme="majorBidi"/>
        </w:rPr>
      </w:pPr>
      <w:bookmarkStart w:id="15" w:name="_Toc115355646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Pr="004E630E">
        <w:rPr>
          <w:rFonts w:cstheme="majorBidi"/>
        </w:rPr>
        <w:lastRenderedPageBreak/>
        <w:t>Общие положения</w:t>
      </w:r>
      <w:bookmarkEnd w:id="15"/>
    </w:p>
    <w:p w14:paraId="0DF272EB" w14:textId="73AB251E" w:rsidR="003727E7" w:rsidRDefault="006D337F" w:rsidP="003727E7">
      <w:pPr>
        <w:spacing w:after="0" w:line="360" w:lineRule="auto"/>
        <w:ind w:firstLine="709"/>
        <w:jc w:val="both"/>
        <w:rPr>
          <w:szCs w:val="24"/>
        </w:rPr>
      </w:pPr>
      <w:r>
        <w:rPr>
          <w:szCs w:val="24"/>
        </w:rPr>
        <w:t>В соответствии с Федеральным законом № ФЗ-417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водоотведении»:</w:t>
      </w:r>
    </w:p>
    <w:p w14:paraId="07BBF7AC" w14:textId="726CA8CC" w:rsidR="006D337F" w:rsidRPr="006D337F" w:rsidRDefault="006D337F" w:rsidP="006D337F">
      <w:pPr>
        <w:pStyle w:val="af"/>
        <w:numPr>
          <w:ilvl w:val="0"/>
          <w:numId w:val="20"/>
        </w:numPr>
        <w:spacing w:after="0" w:line="360" w:lineRule="auto"/>
        <w:jc w:val="both"/>
        <w:rPr>
          <w:szCs w:val="24"/>
        </w:rPr>
      </w:pPr>
      <w:r w:rsidRPr="006D337F">
        <w:rPr>
          <w:szCs w:val="24"/>
        </w:rPr>
        <w:t>с 1 января 2013 года подключение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 (часть 8 статьи 29 Федерального закона № ФЗ-190 «О теплоснабжении»);</w:t>
      </w:r>
    </w:p>
    <w:p w14:paraId="51B44EDC" w14:textId="7A4BE28A" w:rsidR="006D337F" w:rsidRPr="006D337F" w:rsidRDefault="006D337F" w:rsidP="006D337F">
      <w:pPr>
        <w:pStyle w:val="af"/>
        <w:numPr>
          <w:ilvl w:val="0"/>
          <w:numId w:val="20"/>
        </w:numPr>
        <w:spacing w:after="0" w:line="360" w:lineRule="auto"/>
        <w:jc w:val="both"/>
        <w:rPr>
          <w:szCs w:val="24"/>
        </w:rPr>
      </w:pPr>
      <w:r w:rsidRPr="006D337F">
        <w:rPr>
          <w:szCs w:val="24"/>
        </w:rPr>
        <w:t>с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 на допускается (часть 9 статьи 29 Федерального закона № ФЗ-190 «О теплоснабжении»).</w:t>
      </w:r>
    </w:p>
    <w:p w14:paraId="388A176E" w14:textId="5C868196" w:rsidR="006D337F" w:rsidRPr="008E2E0A" w:rsidRDefault="006D337F" w:rsidP="003727E7">
      <w:pPr>
        <w:spacing w:after="0"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Федеральным законом от 30.12.2021 г. № 438-ФЗ «О внесении изменений в Федеральный </w:t>
      </w:r>
      <w:r w:rsidRPr="008E2E0A">
        <w:rPr>
          <w:szCs w:val="24"/>
        </w:rPr>
        <w:t>закон «О теплоснабжении» предусматривается:</w:t>
      </w:r>
    </w:p>
    <w:p w14:paraId="2F263887" w14:textId="5970E93E" w:rsidR="006D337F" w:rsidRPr="008E2E0A" w:rsidRDefault="006D337F" w:rsidP="006D337F">
      <w:pPr>
        <w:pStyle w:val="af"/>
        <w:numPr>
          <w:ilvl w:val="0"/>
          <w:numId w:val="21"/>
        </w:numPr>
        <w:spacing w:after="0" w:line="360" w:lineRule="auto"/>
        <w:jc w:val="both"/>
        <w:rPr>
          <w:szCs w:val="24"/>
        </w:rPr>
      </w:pPr>
      <w:r w:rsidRPr="008E2E0A">
        <w:rPr>
          <w:szCs w:val="24"/>
        </w:rPr>
        <w:t>часть 1 статьи 4 дополнить пунктом 15</w:t>
      </w:r>
      <w:r w:rsidR="008E2E0A" w:rsidRPr="008E2E0A">
        <w:rPr>
          <w:szCs w:val="24"/>
        </w:rPr>
        <w:t>.5</w:t>
      </w:r>
      <w:r w:rsidRPr="008E2E0A">
        <w:rPr>
          <w:szCs w:val="24"/>
        </w:rPr>
        <w:t xml:space="preserve"> следующего содержания:</w:t>
      </w:r>
    </w:p>
    <w:p w14:paraId="5A96B5C9" w14:textId="7FE9594E" w:rsidR="006D337F" w:rsidRPr="008E2E0A" w:rsidRDefault="008E2E0A" w:rsidP="008E2E0A">
      <w:pPr>
        <w:spacing w:after="0" w:line="360" w:lineRule="auto"/>
        <w:jc w:val="both"/>
        <w:rPr>
          <w:rFonts w:cs="Arial"/>
          <w:i/>
          <w:color w:val="000000"/>
          <w:szCs w:val="24"/>
        </w:rPr>
      </w:pPr>
      <w:r w:rsidRPr="008E2E0A">
        <w:rPr>
          <w:rFonts w:cs="Arial"/>
          <w:i/>
          <w:color w:val="000000"/>
          <w:szCs w:val="24"/>
        </w:rPr>
        <w:t>"15.5) утверждение порядка определения экономической эффективности перевода открытых систем теплоснабжения (горячего водоснабжения), отдельных участков таких систем на закрытые системы горячего водоснабжения;";</w:t>
      </w:r>
    </w:p>
    <w:p w14:paraId="36140E75" w14:textId="2198433B" w:rsidR="008E2E0A" w:rsidRPr="008E2E0A" w:rsidRDefault="00831C57" w:rsidP="008E2E0A">
      <w:pPr>
        <w:pStyle w:val="af"/>
        <w:numPr>
          <w:ilvl w:val="0"/>
          <w:numId w:val="21"/>
        </w:numPr>
        <w:spacing w:after="0" w:line="360" w:lineRule="auto"/>
        <w:jc w:val="both"/>
        <w:rPr>
          <w:szCs w:val="24"/>
        </w:rPr>
      </w:pPr>
      <w:r>
        <w:rPr>
          <w:szCs w:val="24"/>
        </w:rPr>
        <w:t>часть 3 стать</w:t>
      </w:r>
      <w:r w:rsidR="008E2E0A" w:rsidRPr="008E2E0A">
        <w:rPr>
          <w:szCs w:val="24"/>
        </w:rPr>
        <w:t>и 23 дополнить пунктом 7.1 следующего содержания:</w:t>
      </w:r>
    </w:p>
    <w:p w14:paraId="6BF88A18" w14:textId="1D22D60F" w:rsidR="008E2E0A" w:rsidRPr="008E2E0A" w:rsidRDefault="008E2E0A" w:rsidP="008E2E0A">
      <w:pPr>
        <w:spacing w:after="0" w:line="360" w:lineRule="auto"/>
        <w:jc w:val="both"/>
        <w:rPr>
          <w:rFonts w:cs="Arial"/>
          <w:i/>
          <w:color w:val="000000"/>
          <w:szCs w:val="24"/>
        </w:rPr>
      </w:pPr>
      <w:r w:rsidRPr="008E2E0A">
        <w:rPr>
          <w:rFonts w:cs="Arial"/>
          <w:i/>
          <w:color w:val="000000"/>
          <w:szCs w:val="24"/>
        </w:rPr>
        <w:t>"7.1) обязательную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порядке, установленном Правительством Российской Федерации. Без проведения такой оценки схема теплоснабжения не может быть утверждена (актуализирована);";</w:t>
      </w:r>
    </w:p>
    <w:p w14:paraId="5C7ACED2" w14:textId="37A3BFB5" w:rsidR="008E2E0A" w:rsidRDefault="008E2E0A" w:rsidP="008E2E0A">
      <w:pPr>
        <w:pStyle w:val="af"/>
        <w:numPr>
          <w:ilvl w:val="0"/>
          <w:numId w:val="21"/>
        </w:numPr>
        <w:spacing w:after="0" w:line="360" w:lineRule="auto"/>
        <w:jc w:val="both"/>
        <w:rPr>
          <w:szCs w:val="24"/>
        </w:rPr>
      </w:pPr>
      <w:r w:rsidRPr="008E2E0A">
        <w:rPr>
          <w:szCs w:val="24"/>
        </w:rPr>
        <w:t>часть 9 статьи 29 признать утратившей силу.</w:t>
      </w:r>
    </w:p>
    <w:p w14:paraId="1FFE6267" w14:textId="75CEF767" w:rsidR="008E2E0A" w:rsidRDefault="00386054" w:rsidP="008E2E0A">
      <w:pPr>
        <w:spacing w:after="0" w:line="360" w:lineRule="auto"/>
        <w:ind w:firstLine="708"/>
        <w:jc w:val="both"/>
        <w:rPr>
          <w:szCs w:val="24"/>
        </w:rPr>
      </w:pPr>
      <w:r w:rsidRPr="00C13679">
        <w:rPr>
          <w:szCs w:val="24"/>
        </w:rPr>
        <w:t>Таким образом, снимается запрет на использование с 1 января 2022 года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водоснабжения. Решение о переходе на закрытые системы теп</w:t>
      </w:r>
      <w:r w:rsidRPr="00C13679">
        <w:rPr>
          <w:szCs w:val="24"/>
        </w:rPr>
        <w:lastRenderedPageBreak/>
        <w:t>лоснабжения должно приниматься по результатам оценки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r w:rsidR="008E2E0A" w:rsidRPr="008E2E0A">
        <w:rPr>
          <w:szCs w:val="24"/>
        </w:rPr>
        <w:t>.</w:t>
      </w:r>
    </w:p>
    <w:p w14:paraId="7DD4A904" w14:textId="597F1845" w:rsidR="008E2E0A" w:rsidRDefault="008E2E0A" w:rsidP="008E2E0A">
      <w:pPr>
        <w:spacing w:after="0" w:line="360" w:lineRule="auto"/>
        <w:ind w:firstLine="708"/>
        <w:jc w:val="both"/>
        <w:rPr>
          <w:szCs w:val="24"/>
        </w:rPr>
      </w:pPr>
    </w:p>
    <w:p w14:paraId="7BD301EE" w14:textId="77777777" w:rsidR="008E2E0A" w:rsidRDefault="008E2E0A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14:paraId="47F3D964" w14:textId="58CC4A97" w:rsidR="00E94285" w:rsidRPr="004E630E" w:rsidRDefault="004E630E" w:rsidP="004E630E">
      <w:pPr>
        <w:pStyle w:val="2f3"/>
        <w:rPr>
          <w:rFonts w:cstheme="majorBidi"/>
        </w:rPr>
      </w:pPr>
      <w:bookmarkStart w:id="16" w:name="_Toc370241849"/>
      <w:bookmarkStart w:id="17" w:name="_Toc370241916"/>
      <w:bookmarkStart w:id="18" w:name="_Toc370306117"/>
      <w:bookmarkStart w:id="19" w:name="_Toc370386652"/>
      <w:bookmarkStart w:id="20" w:name="_Toc373339004"/>
      <w:bookmarkStart w:id="21" w:name="_Toc373408341"/>
      <w:bookmarkStart w:id="22" w:name="_Toc373412397"/>
      <w:bookmarkStart w:id="23" w:name="_Toc373421493"/>
      <w:bookmarkStart w:id="24" w:name="_Toc375153679"/>
      <w:bookmarkStart w:id="25" w:name="_Toc391556950"/>
      <w:bookmarkStart w:id="26" w:name="_Toc391557017"/>
      <w:bookmarkStart w:id="27" w:name="_Toc393288570"/>
      <w:bookmarkStart w:id="28" w:name="_Toc115355647"/>
      <w:r>
        <w:rPr>
          <w:rFonts w:cstheme="majorBidi"/>
        </w:rPr>
        <w:lastRenderedPageBreak/>
        <w:t xml:space="preserve">9.1 </w:t>
      </w:r>
      <w:r w:rsidRPr="004E630E">
        <w:rPr>
          <w:rFonts w:cstheme="majorBidi"/>
        </w:rPr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28"/>
    </w:p>
    <w:p w14:paraId="05FAF0B6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bookmarkStart w:id="29" w:name="_Hlk100825515"/>
      <w:bookmarkStart w:id="30" w:name="_Hlk20410780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4E630E">
        <w:rPr>
          <w:rFonts w:ascii="Arial" w:hAnsi="Arial" w:cs="Arial"/>
          <w:sz w:val="24"/>
          <w:szCs w:val="24"/>
        </w:rPr>
        <w:t xml:space="preserve">В соответствии с пунктом 10 Федерального Закона от 07.12.2011 №417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водоотведении»: </w:t>
      </w:r>
    </w:p>
    <w:bookmarkEnd w:id="29"/>
    <w:p w14:paraId="06F121A8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 xml:space="preserve">- с 1 января 2013 года подключение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допускается; </w:t>
      </w:r>
    </w:p>
    <w:p w14:paraId="6BA4CB99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 xml:space="preserve">-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 </w:t>
      </w:r>
    </w:p>
    <w:p w14:paraId="2C2394CF" w14:textId="4D3AA73E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В настоящий момент горячее водоснабжение потребителей по открытой схеме не осуществляется.</w:t>
      </w:r>
    </w:p>
    <w:p w14:paraId="5E2ED9A0" w14:textId="77777777" w:rsidR="004E630E" w:rsidRPr="00F940E7" w:rsidRDefault="004E630E" w:rsidP="004E63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4BC681" w14:textId="3B01152B" w:rsidR="00472981" w:rsidRPr="004E630E" w:rsidRDefault="004E630E" w:rsidP="004E630E">
      <w:pPr>
        <w:pStyle w:val="2f3"/>
        <w:rPr>
          <w:rFonts w:cstheme="majorBidi"/>
        </w:rPr>
      </w:pPr>
      <w:bookmarkStart w:id="31" w:name="_Toc115355648"/>
      <w:bookmarkEnd w:id="30"/>
      <w:r>
        <w:rPr>
          <w:rFonts w:cstheme="majorBidi"/>
        </w:rPr>
        <w:t xml:space="preserve">9.2 </w:t>
      </w:r>
      <w:r w:rsidRPr="004E630E">
        <w:rPr>
          <w:rFonts w:cstheme="majorBidi"/>
        </w:rPr>
        <w:t>Выбор и обоснование метода регулирования отпуска тепловой энергии от источников тепловой энергии</w:t>
      </w:r>
      <w:bookmarkEnd w:id="31"/>
    </w:p>
    <w:p w14:paraId="26212B89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 xml:space="preserve">В соответствии с СП 124.13330.2012 Тепловые сети. Актуализированная редакция СНиП 41-02-2003 при отпуске тепла от котельных осуществляется центральное качественное регулирование по совместной нагрузке отопления и горячего водоснабжения в строгом соответствии с принятыми на источниках температурными графиками: </w:t>
      </w:r>
    </w:p>
    <w:p w14:paraId="618FFFA2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 xml:space="preserve">- 95/70 ºС; </w:t>
      </w:r>
    </w:p>
    <w:p w14:paraId="6C4ED406" w14:textId="3681EC90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 xml:space="preserve">Температура теплоносителя задается по температурному графику, в зависимости от температуры наружного воздуха. В период резкого изменения температуры наружного воздуха производится корректировка суточного графика отпуска тепла по фактической температуре наружного воздуха. Обоснованность температурного графика теплоносителя определяется способом подключения </w:t>
      </w:r>
      <w:r w:rsidRPr="004E630E">
        <w:rPr>
          <w:rFonts w:ascii="Arial" w:hAnsi="Arial" w:cs="Arial"/>
          <w:sz w:val="24"/>
          <w:szCs w:val="24"/>
        </w:rPr>
        <w:lastRenderedPageBreak/>
        <w:t xml:space="preserve">теплопотребляющих установок абонентов к тепловым сетям систем централизованного теплоснабжения. Пропускная способность существующих трубопроводов тепловых сетей соответствует выбранному температурному графику отпуска теплоносителя. Выбор иных методов регулирования отпуска тепловой энергии от источников тепловой энергии </w:t>
      </w:r>
      <w:r>
        <w:rPr>
          <w:rFonts w:ascii="Arial" w:hAnsi="Arial" w:cs="Arial"/>
          <w:sz w:val="24"/>
          <w:szCs w:val="24"/>
        </w:rPr>
        <w:t>Шпаковского МО СК</w:t>
      </w:r>
      <w:r w:rsidRPr="004E630E">
        <w:rPr>
          <w:rFonts w:ascii="Arial" w:hAnsi="Arial" w:cs="Arial"/>
          <w:sz w:val="24"/>
          <w:szCs w:val="24"/>
        </w:rPr>
        <w:t xml:space="preserve"> не требуется.</w:t>
      </w:r>
    </w:p>
    <w:p w14:paraId="6B33FC40" w14:textId="77777777" w:rsidR="004E630E" w:rsidRPr="00F940E7" w:rsidRDefault="004E630E" w:rsidP="004E63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F7656C" w14:textId="5333E806" w:rsidR="00100F72" w:rsidRPr="004E630E" w:rsidRDefault="004E630E" w:rsidP="004E630E">
      <w:pPr>
        <w:pStyle w:val="2f3"/>
        <w:rPr>
          <w:rFonts w:cstheme="majorBidi"/>
        </w:rPr>
      </w:pPr>
      <w:bookmarkStart w:id="32" w:name="_Toc115355649"/>
      <w:r>
        <w:rPr>
          <w:rFonts w:cstheme="majorBidi"/>
        </w:rPr>
        <w:t xml:space="preserve">9.3 </w:t>
      </w:r>
      <w:r w:rsidRPr="004E630E">
        <w:rPr>
          <w:rFonts w:cstheme="majorBidi"/>
        </w:rPr>
        <w:t>Предложения по реконструкции тепловых сетей для обеспечения передачи тепловой энергии при переходе от открытой системы теплосбжения (горячего водоснабжения) к закрытой системе горячего водоснабжения</w:t>
      </w:r>
      <w:bookmarkEnd w:id="32"/>
    </w:p>
    <w:p w14:paraId="53DA883C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В настоящий момент горячее водоснабжение потребителей по открытой схеме не осуществляется.</w:t>
      </w:r>
    </w:p>
    <w:p w14:paraId="312525D8" w14:textId="1439A001" w:rsidR="00D2332D" w:rsidRPr="00D2332D" w:rsidRDefault="00D2332D" w:rsidP="00D2332D">
      <w:pPr>
        <w:spacing w:after="160" w:line="259" w:lineRule="auto"/>
        <w:rPr>
          <w:rFonts w:ascii="Calibri" w:hAnsi="Calibri"/>
          <w:sz w:val="22"/>
        </w:rPr>
      </w:pPr>
    </w:p>
    <w:p w14:paraId="4002D1F3" w14:textId="16C807AE" w:rsidR="00C4283F" w:rsidRPr="004E630E" w:rsidRDefault="004E630E" w:rsidP="004E630E">
      <w:pPr>
        <w:pStyle w:val="2f3"/>
        <w:rPr>
          <w:rFonts w:cstheme="majorBidi"/>
        </w:rPr>
      </w:pPr>
      <w:bookmarkStart w:id="33" w:name="_Toc42289646"/>
      <w:bookmarkStart w:id="34" w:name="_Toc115355650"/>
      <w:r>
        <w:rPr>
          <w:rFonts w:cstheme="majorBidi"/>
        </w:rPr>
        <w:t xml:space="preserve">9.4 </w:t>
      </w:r>
      <w:r w:rsidRPr="004E630E">
        <w:rPr>
          <w:rFonts w:cstheme="majorBidi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33"/>
      <w:bookmarkEnd w:id="34"/>
    </w:p>
    <w:p w14:paraId="2ABC524E" w14:textId="7FAC42AC" w:rsid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В настоящий момент горячее водоснабжение потребителей по открытой схеме не осуществляется.</w:t>
      </w:r>
    </w:p>
    <w:p w14:paraId="142483C7" w14:textId="3070BDF3" w:rsidR="00D2332D" w:rsidRDefault="00D2332D" w:rsidP="00D2332D">
      <w:pPr>
        <w:spacing w:after="160" w:line="259" w:lineRule="auto"/>
        <w:rPr>
          <w:rFonts w:ascii="Calibri" w:hAnsi="Calibri"/>
          <w:sz w:val="22"/>
        </w:rPr>
      </w:pPr>
    </w:p>
    <w:p w14:paraId="1D4A721A" w14:textId="1A9FDBFB" w:rsidR="00603D4D" w:rsidRPr="004E630E" w:rsidRDefault="004E630E" w:rsidP="004E630E">
      <w:pPr>
        <w:pStyle w:val="2f3"/>
        <w:rPr>
          <w:rFonts w:cstheme="majorBidi"/>
        </w:rPr>
      </w:pPr>
      <w:bookmarkStart w:id="35" w:name="_Toc115355651"/>
      <w:r>
        <w:rPr>
          <w:rFonts w:cstheme="majorBidi"/>
        </w:rPr>
        <w:t xml:space="preserve">9.5 </w:t>
      </w:r>
      <w:r w:rsidRPr="004E630E">
        <w:rPr>
          <w:rFonts w:cstheme="majorBidi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35"/>
    </w:p>
    <w:p w14:paraId="45820842" w14:textId="43E3AD68" w:rsid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В настоящий момент горячее водоснабжение потребителей по открытой схеме не осуществляется.</w:t>
      </w:r>
    </w:p>
    <w:p w14:paraId="1080524A" w14:textId="77777777" w:rsid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</w:p>
    <w:p w14:paraId="5AE22DA6" w14:textId="64756D26" w:rsidR="00603D4D" w:rsidRPr="004E630E" w:rsidRDefault="004E630E" w:rsidP="004E630E">
      <w:pPr>
        <w:pStyle w:val="2f3"/>
        <w:rPr>
          <w:rFonts w:cstheme="majorBidi"/>
        </w:rPr>
      </w:pPr>
      <w:bookmarkStart w:id="36" w:name="_Toc115355652"/>
      <w:r>
        <w:rPr>
          <w:rFonts w:cstheme="majorBidi"/>
        </w:rPr>
        <w:t xml:space="preserve">9.6 </w:t>
      </w:r>
      <w:r w:rsidRPr="004E630E">
        <w:rPr>
          <w:rFonts w:cstheme="majorBidi"/>
        </w:rPr>
        <w:t>Предложения по источникам инвестиций</w:t>
      </w:r>
      <w:bookmarkEnd w:id="36"/>
    </w:p>
    <w:p w14:paraId="29ACCACC" w14:textId="77777777" w:rsid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В настоящий момент горячее водоснабжение потребителей по открытой схеме не осуществляется.</w:t>
      </w:r>
    </w:p>
    <w:p w14:paraId="297F2600" w14:textId="25666196" w:rsidR="00603D4D" w:rsidRDefault="00603D4D" w:rsidP="00603D4D">
      <w:pPr>
        <w:spacing w:after="0" w:line="360" w:lineRule="auto"/>
        <w:jc w:val="both"/>
        <w:rPr>
          <w:rFonts w:cs="Arial"/>
          <w:b/>
          <w:bCs/>
          <w:szCs w:val="24"/>
        </w:rPr>
      </w:pPr>
    </w:p>
    <w:p w14:paraId="3A7F76F8" w14:textId="1440625D" w:rsidR="004E630E" w:rsidRPr="004E630E" w:rsidRDefault="004E630E" w:rsidP="004E630E">
      <w:pPr>
        <w:pStyle w:val="2f3"/>
        <w:rPr>
          <w:rFonts w:cstheme="majorBidi"/>
        </w:rPr>
      </w:pPr>
      <w:bookmarkStart w:id="37" w:name="_Toc107999508"/>
      <w:bookmarkStart w:id="38" w:name="_Toc115355653"/>
      <w:bookmarkStart w:id="39" w:name="_GoBack"/>
      <w:bookmarkEnd w:id="39"/>
      <w:r>
        <w:rPr>
          <w:rFonts w:cstheme="majorBidi"/>
        </w:rPr>
        <w:lastRenderedPageBreak/>
        <w:t xml:space="preserve">9.7 </w:t>
      </w:r>
      <w:r w:rsidRPr="004E630E">
        <w:rPr>
          <w:rFonts w:cstheme="majorBidi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37"/>
      <w:bookmarkEnd w:id="38"/>
    </w:p>
    <w:p w14:paraId="4703CA7B" w14:textId="77777777" w:rsidR="004E630E" w:rsidRPr="004E630E" w:rsidRDefault="004E630E" w:rsidP="004E630E">
      <w:pPr>
        <w:pStyle w:val="af3"/>
        <w:spacing w:line="360" w:lineRule="auto"/>
        <w:ind w:left="102" w:right="104"/>
        <w:rPr>
          <w:rFonts w:ascii="Arial" w:hAnsi="Arial" w:cs="Arial"/>
          <w:sz w:val="24"/>
          <w:szCs w:val="24"/>
        </w:rPr>
      </w:pPr>
      <w:r w:rsidRPr="004E630E">
        <w:rPr>
          <w:rFonts w:ascii="Arial" w:hAnsi="Arial" w:cs="Arial"/>
          <w:sz w:val="24"/>
          <w:szCs w:val="24"/>
        </w:rPr>
        <w:t>Изменений в предложениях по переводу открытых систем теплоснабжения в закрытые системы горячего водоснабжения не выявлено.</w:t>
      </w:r>
    </w:p>
    <w:p w14:paraId="63BA8C16" w14:textId="77777777" w:rsidR="004E630E" w:rsidRPr="00603D4D" w:rsidRDefault="004E630E" w:rsidP="00603D4D">
      <w:pPr>
        <w:spacing w:after="0" w:line="360" w:lineRule="auto"/>
        <w:jc w:val="both"/>
        <w:rPr>
          <w:rFonts w:cs="Arial"/>
          <w:b/>
          <w:bCs/>
          <w:szCs w:val="24"/>
        </w:rPr>
      </w:pPr>
    </w:p>
    <w:sectPr w:rsidR="004E630E" w:rsidRPr="00603D4D" w:rsidSect="00CC3B7E">
      <w:headerReference w:type="default" r:id="rId10"/>
      <w:footerReference w:type="default" r:id="rId11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AA264" w14:textId="77777777" w:rsidR="00356E73" w:rsidRDefault="00356E73" w:rsidP="005873F4">
      <w:pPr>
        <w:spacing w:after="0" w:line="240" w:lineRule="auto"/>
      </w:pPr>
      <w:r>
        <w:separator/>
      </w:r>
    </w:p>
  </w:endnote>
  <w:endnote w:type="continuationSeparator" w:id="0">
    <w:p w14:paraId="54D1AFEA" w14:textId="77777777" w:rsidR="00356E73" w:rsidRDefault="00356E73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D43C5" w14:textId="18142824" w:rsidR="00D2332D" w:rsidRPr="00472981" w:rsidRDefault="00D2332D" w:rsidP="00D2332D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</w:t>
    </w:r>
    <w:r w:rsidR="00CC3B7E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CC3B7E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.009.000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CC3B7E" w:rsidRPr="00CC3B7E">
      <w:rPr>
        <w:rFonts w:eastAsia="Times New Roman" w:cs="Arial"/>
        <w:noProof/>
        <w:sz w:val="18"/>
        <w:szCs w:val="18"/>
      </w:rPr>
      <w:t>7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90B12" w14:textId="77777777" w:rsidR="00356E73" w:rsidRDefault="00356E73" w:rsidP="005873F4">
      <w:pPr>
        <w:spacing w:after="0" w:line="240" w:lineRule="auto"/>
      </w:pPr>
      <w:r>
        <w:separator/>
      </w:r>
    </w:p>
  </w:footnote>
  <w:footnote w:type="continuationSeparator" w:id="0">
    <w:p w14:paraId="49093C33" w14:textId="77777777" w:rsidR="00356E73" w:rsidRDefault="00356E73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D0C9C" w14:textId="77777777" w:rsidR="004E630E" w:rsidRDefault="004E630E" w:rsidP="004E630E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67A51BE9" w14:textId="190CB613" w:rsidR="004E630E" w:rsidRPr="004E630E" w:rsidRDefault="004E630E" w:rsidP="004E630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</w:t>
    </w:r>
    <w:r w:rsidRPr="00CC3B7E">
      <w:rPr>
        <w:rFonts w:cs="Arial"/>
        <w:sz w:val="14"/>
        <w:szCs w:val="16"/>
      </w:rPr>
      <w:t>ПРЕДЛОЖЕНИЯ ПО ПЕРЕВОДУ ОТКРЫТЫХ СИСТЕМ ТЕПЛОСНАБЖЕНИЯ (ГОРЯЧЕГО ВОДОСНАБЖЕНИЯ) В ЗАКРЫТЫЕ СИСТЕМЫ ГОРЯЧЕГО ВОДОСНАБЖЕНИЯ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8327B7A"/>
    <w:multiLevelType w:val="hybridMultilevel"/>
    <w:tmpl w:val="0F0C89A8"/>
    <w:lvl w:ilvl="0" w:tplc="79C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61743"/>
    <w:multiLevelType w:val="multilevel"/>
    <w:tmpl w:val="329863DC"/>
    <w:lvl w:ilvl="0">
      <w:start w:val="9"/>
      <w:numFmt w:val="decimal"/>
      <w:lvlText w:val="%1"/>
      <w:lvlJc w:val="left"/>
      <w:pPr>
        <w:ind w:left="459" w:hanging="35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9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D93697"/>
    <w:multiLevelType w:val="hybridMultilevel"/>
    <w:tmpl w:val="FDD4335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393136"/>
    <w:multiLevelType w:val="hybridMultilevel"/>
    <w:tmpl w:val="320ED24A"/>
    <w:lvl w:ilvl="0" w:tplc="C7F20E84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8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0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002CDF"/>
    <w:multiLevelType w:val="hybridMultilevel"/>
    <w:tmpl w:val="932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9685E"/>
    <w:multiLevelType w:val="hybridMultilevel"/>
    <w:tmpl w:val="33387406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707A0"/>
    <w:multiLevelType w:val="hybridMultilevel"/>
    <w:tmpl w:val="6E6825B0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BA536AF"/>
    <w:multiLevelType w:val="hybridMultilevel"/>
    <w:tmpl w:val="1A0A65D8"/>
    <w:lvl w:ilvl="0" w:tplc="9EF6CB1A">
      <w:start w:val="1"/>
      <w:numFmt w:val="decimal"/>
      <w:lvlText w:val="%1)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0FE5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A0028C0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3" w:tplc="D652A90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8B809F6">
      <w:numFmt w:val="bullet"/>
      <w:lvlText w:val="•"/>
      <w:lvlJc w:val="left"/>
      <w:pPr>
        <w:ind w:left="4317" w:hanging="360"/>
      </w:pPr>
      <w:rPr>
        <w:rFonts w:hint="default"/>
        <w:lang w:val="ru-RU" w:eastAsia="en-US" w:bidi="ar-SA"/>
      </w:rPr>
    </w:lvl>
    <w:lvl w:ilvl="5" w:tplc="98C08B44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51BC1450">
      <w:numFmt w:val="bullet"/>
      <w:lvlText w:val="•"/>
      <w:lvlJc w:val="left"/>
      <w:pPr>
        <w:ind w:left="6066" w:hanging="360"/>
      </w:pPr>
      <w:rPr>
        <w:rFonts w:hint="default"/>
        <w:lang w:val="ru-RU" w:eastAsia="en-US" w:bidi="ar-SA"/>
      </w:rPr>
    </w:lvl>
    <w:lvl w:ilvl="7" w:tplc="98B4D8EC">
      <w:numFmt w:val="bullet"/>
      <w:lvlText w:val="•"/>
      <w:lvlJc w:val="left"/>
      <w:pPr>
        <w:ind w:left="6941" w:hanging="360"/>
      </w:pPr>
      <w:rPr>
        <w:rFonts w:hint="default"/>
        <w:lang w:val="ru-RU" w:eastAsia="en-US" w:bidi="ar-SA"/>
      </w:rPr>
    </w:lvl>
    <w:lvl w:ilvl="8" w:tplc="613CD7C0">
      <w:numFmt w:val="bullet"/>
      <w:lvlText w:val="•"/>
      <w:lvlJc w:val="left"/>
      <w:pPr>
        <w:ind w:left="7815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14"/>
  </w:num>
  <w:num w:numId="11">
    <w:abstractNumId w:val="20"/>
  </w:num>
  <w:num w:numId="12">
    <w:abstractNumId w:val="3"/>
  </w:num>
  <w:num w:numId="13">
    <w:abstractNumId w:val="8"/>
  </w:num>
  <w:num w:numId="14">
    <w:abstractNumId w:val="4"/>
  </w:num>
  <w:num w:numId="15">
    <w:abstractNumId w:val="11"/>
  </w:num>
  <w:num w:numId="16">
    <w:abstractNumId w:val="21"/>
  </w:num>
  <w:num w:numId="17">
    <w:abstractNumId w:val="16"/>
  </w:num>
  <w:num w:numId="18">
    <w:abstractNumId w:val="5"/>
  </w:num>
  <w:num w:numId="19">
    <w:abstractNumId w:val="8"/>
  </w:num>
  <w:num w:numId="20">
    <w:abstractNumId w:val="15"/>
  </w:num>
  <w:num w:numId="21">
    <w:abstractNumId w:val="2"/>
  </w:num>
  <w:num w:numId="22">
    <w:abstractNumId w:val="7"/>
  </w:num>
  <w:num w:numId="23">
    <w:abstractNumId w:val="13"/>
  </w:num>
  <w:num w:numId="24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0F72"/>
    <w:rsid w:val="001023AD"/>
    <w:rsid w:val="00103004"/>
    <w:rsid w:val="0010515D"/>
    <w:rsid w:val="001071BD"/>
    <w:rsid w:val="00110390"/>
    <w:rsid w:val="00111F6C"/>
    <w:rsid w:val="00113FC0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17A1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0E03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071"/>
    <w:rsid w:val="00341C11"/>
    <w:rsid w:val="00344811"/>
    <w:rsid w:val="00350EB6"/>
    <w:rsid w:val="003518FD"/>
    <w:rsid w:val="00356E73"/>
    <w:rsid w:val="0035718C"/>
    <w:rsid w:val="00364195"/>
    <w:rsid w:val="00367325"/>
    <w:rsid w:val="00371368"/>
    <w:rsid w:val="003727E7"/>
    <w:rsid w:val="00372816"/>
    <w:rsid w:val="00374BBB"/>
    <w:rsid w:val="0037633B"/>
    <w:rsid w:val="003826CE"/>
    <w:rsid w:val="003843FE"/>
    <w:rsid w:val="0038474A"/>
    <w:rsid w:val="00385745"/>
    <w:rsid w:val="00386054"/>
    <w:rsid w:val="00390F0F"/>
    <w:rsid w:val="003917DB"/>
    <w:rsid w:val="003922BA"/>
    <w:rsid w:val="003A6492"/>
    <w:rsid w:val="003C0C87"/>
    <w:rsid w:val="003D1093"/>
    <w:rsid w:val="003E2A4A"/>
    <w:rsid w:val="003F0CE3"/>
    <w:rsid w:val="003F6CF5"/>
    <w:rsid w:val="00402EC5"/>
    <w:rsid w:val="004070F2"/>
    <w:rsid w:val="0041069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2981"/>
    <w:rsid w:val="004757FD"/>
    <w:rsid w:val="004777C7"/>
    <w:rsid w:val="004845AA"/>
    <w:rsid w:val="00484D7D"/>
    <w:rsid w:val="004859B4"/>
    <w:rsid w:val="004863AD"/>
    <w:rsid w:val="004909B2"/>
    <w:rsid w:val="004921EC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0E6F"/>
    <w:rsid w:val="004E1D03"/>
    <w:rsid w:val="004E2425"/>
    <w:rsid w:val="004E630E"/>
    <w:rsid w:val="004F053C"/>
    <w:rsid w:val="004F4950"/>
    <w:rsid w:val="004F5461"/>
    <w:rsid w:val="004F7FE3"/>
    <w:rsid w:val="0050144A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0938"/>
    <w:rsid w:val="005D199F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0383"/>
    <w:rsid w:val="005F3B3F"/>
    <w:rsid w:val="005F6087"/>
    <w:rsid w:val="005F68D6"/>
    <w:rsid w:val="00600CCE"/>
    <w:rsid w:val="00603D4D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337F"/>
    <w:rsid w:val="006D4885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00C0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33B0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1C57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2E0A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789"/>
    <w:rsid w:val="009F49BE"/>
    <w:rsid w:val="009F741A"/>
    <w:rsid w:val="00A02147"/>
    <w:rsid w:val="00A03FBA"/>
    <w:rsid w:val="00A0430D"/>
    <w:rsid w:val="00A17C9C"/>
    <w:rsid w:val="00A2185C"/>
    <w:rsid w:val="00A231CD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4EE0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C7916"/>
    <w:rsid w:val="00AD63A7"/>
    <w:rsid w:val="00AD63CA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40D6"/>
    <w:rsid w:val="00BA7344"/>
    <w:rsid w:val="00BB0B48"/>
    <w:rsid w:val="00BB3E2C"/>
    <w:rsid w:val="00BC0F34"/>
    <w:rsid w:val="00BC15EC"/>
    <w:rsid w:val="00BC1A30"/>
    <w:rsid w:val="00BC4FDE"/>
    <w:rsid w:val="00BC521D"/>
    <w:rsid w:val="00BC5A33"/>
    <w:rsid w:val="00BC602F"/>
    <w:rsid w:val="00BC70E4"/>
    <w:rsid w:val="00BD12A1"/>
    <w:rsid w:val="00BD4915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37161"/>
    <w:rsid w:val="00C40EA6"/>
    <w:rsid w:val="00C4283F"/>
    <w:rsid w:val="00C50FB8"/>
    <w:rsid w:val="00C542C3"/>
    <w:rsid w:val="00C5528F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31D6"/>
    <w:rsid w:val="00CC3B7E"/>
    <w:rsid w:val="00CC61ED"/>
    <w:rsid w:val="00CC62BD"/>
    <w:rsid w:val="00CD0CA5"/>
    <w:rsid w:val="00CE287E"/>
    <w:rsid w:val="00CE2CDA"/>
    <w:rsid w:val="00CE43B3"/>
    <w:rsid w:val="00CF110F"/>
    <w:rsid w:val="00CF5714"/>
    <w:rsid w:val="00D13C54"/>
    <w:rsid w:val="00D140B2"/>
    <w:rsid w:val="00D23224"/>
    <w:rsid w:val="00D2332D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25D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4285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B68F9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973FAD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1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4">
    <w:name w:val="FollowedHyperlink"/>
    <w:basedOn w:val="a3"/>
    <w:uiPriority w:val="99"/>
    <w:semiHidden/>
    <w:unhideWhenUsed/>
    <w:rsid w:val="00E94285"/>
    <w:rPr>
      <w:color w:val="800080"/>
      <w:u w:val="single"/>
    </w:rPr>
  </w:style>
  <w:style w:type="paragraph" w:customStyle="1" w:styleId="msonormal0">
    <w:name w:val="msonormal"/>
    <w:basedOn w:val="a2"/>
    <w:rsid w:val="00E94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00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100F72"/>
    <w:pPr>
      <w:widowControl w:val="0"/>
      <w:autoSpaceDE w:val="0"/>
      <w:autoSpaceDN w:val="0"/>
      <w:spacing w:after="0" w:line="210" w:lineRule="exact"/>
      <w:ind w:left="381"/>
      <w:jc w:val="center"/>
    </w:pPr>
    <w:rPr>
      <w:rFonts w:ascii="Times New Roman" w:eastAsia="Times New Roman" w:hAnsi="Times New Roman"/>
      <w:sz w:val="22"/>
    </w:rPr>
  </w:style>
  <w:style w:type="table" w:customStyle="1" w:styleId="1d">
    <w:name w:val="Сетка таблицы1"/>
    <w:basedOn w:val="a4"/>
    <w:next w:val="af0"/>
    <w:uiPriority w:val="59"/>
    <w:rsid w:val="00D2332D"/>
    <w:rPr>
      <w:rFonts w:ascii="Times New Roman"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Стиль233"/>
    <w:rsid w:val="004E630E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04E2-F3CB-4FA4-97EF-FA24F8B9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7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20</cp:revision>
  <cp:lastPrinted>2020-06-27T15:07:00Z</cp:lastPrinted>
  <dcterms:created xsi:type="dcterms:W3CDTF">2022-04-17T13:28:00Z</dcterms:created>
  <dcterms:modified xsi:type="dcterms:W3CDTF">2022-09-29T11:55:00Z</dcterms:modified>
</cp:coreProperties>
</file>